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8AC93">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7CC344B9">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047BA423">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23485E9">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2D753742">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219CC5FE">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13F07171">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C23EEA1">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bookmarkStart w:id="0" w:name="_GoBack"/>
    </w:p>
    <w:bookmarkEnd w:id="0"/>
    <w:p w14:paraId="676749BC">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34C38CD2">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7189BE8A">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42A76DCA">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0D6C4526">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w:t>
      </w:r>
    </w:p>
    <w:p w14:paraId="3604ED79">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华池县乔川乡杨湾湾小学部门决算</w:t>
      </w:r>
    </w:p>
    <w:p w14:paraId="5EF95840">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05755564">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BE85EDD">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6D89455">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53D1B400">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26E457DD">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771FA599">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41FF0DB5">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10B5DB3F">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1CCBEFCF">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38013045">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3B494825">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4B61DA11">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3CD2DB22">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12D282A">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761A7F73">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15C1156B">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C984CF4">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618BF9E">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目录</w:t>
      </w:r>
    </w:p>
    <w:p w14:paraId="4DEA18D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第一部分部门概况</w:t>
      </w:r>
    </w:p>
    <w:p w14:paraId="4A47EF0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一、部门职责</w:t>
      </w:r>
    </w:p>
    <w:p w14:paraId="4D4957DD">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二、机构设置</w:t>
      </w:r>
    </w:p>
    <w:p w14:paraId="14438ED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第二部分2023年度部门决算表</w:t>
      </w:r>
    </w:p>
    <w:p w14:paraId="664D65D3">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一、收入支出决算总表</w:t>
      </w:r>
    </w:p>
    <w:p w14:paraId="296D7B80">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二、收入决算表</w:t>
      </w:r>
    </w:p>
    <w:p w14:paraId="7FC0936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三、支出决算表</w:t>
      </w:r>
    </w:p>
    <w:p w14:paraId="64D51D14">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四、财政拨款收入支出决算总表</w:t>
      </w:r>
    </w:p>
    <w:p w14:paraId="7CE4C960">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五、一般公共预算财政拨款支出决算表</w:t>
      </w:r>
    </w:p>
    <w:p w14:paraId="0FCF508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六、一般公共预算财政拨款基本支出决算明细表</w:t>
      </w:r>
    </w:p>
    <w:p w14:paraId="1B8D590B">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七、政府性基金预算财政拨款收入支出决算表</w:t>
      </w:r>
    </w:p>
    <w:p w14:paraId="3F94B5ED">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八、国有资本经营预算财政拨款支出决算表</w:t>
      </w:r>
    </w:p>
    <w:p w14:paraId="275CFFEB">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九、财政拨款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经费支出决算表</w:t>
      </w:r>
    </w:p>
    <w:p w14:paraId="0C53310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第三部分2023年度部门决算情况说明</w:t>
      </w:r>
    </w:p>
    <w:p w14:paraId="6C3FFA10">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一、收入支出决算总体情况说明</w:t>
      </w:r>
    </w:p>
    <w:p w14:paraId="31B8EAEF">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二、收入决算情况说明</w:t>
      </w:r>
    </w:p>
    <w:p w14:paraId="0629261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三、支出决算情况说明</w:t>
      </w:r>
    </w:p>
    <w:p w14:paraId="16E3B76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四、财政拨款收入支出决算总体情况说明</w:t>
      </w:r>
    </w:p>
    <w:p w14:paraId="4BA10CA2">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五、一般公共预算财政拨款支出决算情况说明</w:t>
      </w:r>
    </w:p>
    <w:p w14:paraId="2B2083C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六、一般公共预算财政拨款基本支出决算情况说明</w:t>
      </w:r>
    </w:p>
    <w:p w14:paraId="143926C9">
      <w:pPr>
        <w:spacing w:before="100" w:beforeLines="0" w:after="100" w:afterLines="0"/>
        <w:jc w:val="left"/>
        <w:rPr>
          <w:rFonts w:hint="default"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七、政府性基金预算财政拨款收支决算情况说明</w:t>
      </w:r>
    </w:p>
    <w:p w14:paraId="65AEE53C">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八、国有资本经营预算财政拨款支出情况说明</w:t>
      </w:r>
    </w:p>
    <w:p w14:paraId="1EC73725">
      <w:pPr>
        <w:spacing w:before="100" w:beforeLines="0" w:after="100" w:afterLines="0"/>
        <w:jc w:val="left"/>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九、财政拨款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经费支出决算情况说明</w:t>
      </w:r>
    </w:p>
    <w:p w14:paraId="6FDA7D18">
      <w:pPr>
        <w:spacing w:before="100" w:beforeLines="0" w:after="100" w:afterLines="0"/>
        <w:jc w:val="left"/>
        <w:rPr>
          <w:rFonts w:hint="default"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十、机关运行经费支出情况说明</w:t>
      </w:r>
    </w:p>
    <w:p w14:paraId="65A23BFF">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十一、政府采购支出情况说明</w:t>
      </w:r>
    </w:p>
    <w:p w14:paraId="05AF6D3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十二、国有资产占用情况说明</w:t>
      </w:r>
    </w:p>
    <w:p w14:paraId="4008161C">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十三、其他需要说明的情况</w:t>
      </w:r>
    </w:p>
    <w:p w14:paraId="1D47CE51">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第四部分预算绩效情况说明</w:t>
      </w:r>
    </w:p>
    <w:p w14:paraId="4872656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第五部分名词解释</w:t>
      </w:r>
    </w:p>
    <w:p w14:paraId="255E8083">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4857A18D">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0D4DE709">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0914FABC">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20D9B4CF">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1A704264">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6D0AC032">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p>
    <w:p w14:paraId="06F132A3">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第一部分部门概况</w:t>
      </w:r>
    </w:p>
    <w:p w14:paraId="5EACED0C">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一、部门职责</w:t>
      </w:r>
    </w:p>
    <w:p w14:paraId="7A4D5E70">
      <w:pPr>
        <w:pStyle w:val="2"/>
        <w:keepNext w:val="0"/>
        <w:keepLines w:val="0"/>
        <w:widowControl/>
        <w:suppressLineNumbers w:val="0"/>
        <w:spacing w:before="106" w:beforeAutospacing="0" w:after="106" w:afterAutospacing="0" w:line="30" w:lineRule="atLeast"/>
        <w:ind w:left="0" w:right="0"/>
        <w:jc w:val="left"/>
        <w:rPr>
          <w:color w:val="000000" w:themeColor="text1"/>
          <w14:textFill>
            <w14:solidFill>
              <w14:schemeClr w14:val="tx1"/>
            </w14:solidFill>
          </w14:textFill>
        </w:rPr>
      </w:pPr>
      <w:r>
        <w:rPr>
          <w:rFonts w:hint="eastAsia" w:ascii="宋体" w:hAnsi="宋体" w:eastAsia="宋体" w:cs="宋体"/>
          <w:color w:val="000000" w:themeColor="text1"/>
          <w:spacing w:val="0"/>
          <w:sz w:val="24"/>
          <w:szCs w:val="24"/>
          <w:shd w:val="clear" w:fill="FFFFFF"/>
          <w14:textFill>
            <w14:solidFill>
              <w14:schemeClr w14:val="tx1"/>
            </w14:solidFill>
          </w14:textFill>
        </w:rPr>
        <w:t>乔川乡杨湾湾小学</w:t>
      </w:r>
      <w:r>
        <w:rPr>
          <w:rFonts w:hint="eastAsia" w:ascii="宋体" w:hAnsi="宋体" w:eastAsia="宋体" w:cs="宋体"/>
          <w:color w:val="000000" w:themeColor="text1"/>
          <w:sz w:val="24"/>
          <w:szCs w:val="24"/>
          <w:shd w:val="clear" w:fill="FFFFFF"/>
          <w14:textFill>
            <w14:solidFill>
              <w14:schemeClr w14:val="tx1"/>
            </w14:solidFill>
          </w14:textFill>
        </w:rPr>
        <w:t>是从事教育教学等工作的职能部门。主要职责是:以普及九年义务教育，培养合格人才为主要职能，从事教育教学事务活动。</w:t>
      </w:r>
    </w:p>
    <w:p w14:paraId="5C12FBF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二、机构设置</w:t>
      </w:r>
    </w:p>
    <w:p w14:paraId="48690B1C">
      <w:pPr>
        <w:pStyle w:val="2"/>
        <w:keepNext w:val="0"/>
        <w:keepLines w:val="0"/>
        <w:widowControl/>
        <w:suppressLineNumbers w:val="0"/>
        <w:spacing w:before="106" w:beforeAutospacing="0" w:after="106" w:afterAutospacing="0" w:line="30" w:lineRule="atLeast"/>
        <w:ind w:left="0" w:right="0"/>
        <w:jc w:val="left"/>
        <w:rPr>
          <w:color w:val="000000" w:themeColor="text1"/>
          <w14:textFill>
            <w14:solidFill>
              <w14:schemeClr w14:val="tx1"/>
            </w14:solidFill>
          </w14:textFill>
        </w:rPr>
      </w:pPr>
      <w:r>
        <w:rPr>
          <w:rFonts w:hint="eastAsia" w:ascii="宋体" w:hAnsi="宋体" w:eastAsia="宋体" w:cs="宋体"/>
          <w:color w:val="000000" w:themeColor="text1"/>
          <w:spacing w:val="0"/>
          <w:sz w:val="24"/>
          <w:szCs w:val="24"/>
          <w:shd w:val="clear" w:fill="FFFFFF"/>
          <w14:textFill>
            <w14:solidFill>
              <w14:schemeClr w14:val="tx1"/>
            </w14:solidFill>
          </w14:textFill>
        </w:rPr>
        <w:t>乔川乡杨湾湾小学</w:t>
      </w:r>
      <w:r>
        <w:rPr>
          <w:rFonts w:hint="eastAsia" w:ascii="宋体" w:hAnsi="宋体" w:eastAsia="宋体" w:cs="宋体"/>
          <w:color w:val="000000" w:themeColor="text1"/>
          <w:sz w:val="24"/>
          <w:szCs w:val="24"/>
          <w:shd w:val="clear" w:fill="FFFFFF"/>
          <w14:textFill>
            <w14:solidFill>
              <w14:schemeClr w14:val="tx1"/>
            </w14:solidFill>
          </w14:textFill>
        </w:rPr>
        <w:t>内设</w:t>
      </w:r>
      <w:r>
        <w:rPr>
          <w:rFonts w:hint="eastAsia" w:ascii="宋体" w:hAnsi="宋体" w:eastAsia="宋体" w:cs="宋体"/>
          <w:color w:val="000000" w:themeColor="text1"/>
          <w:spacing w:val="0"/>
          <w:sz w:val="24"/>
          <w:szCs w:val="24"/>
          <w:shd w:val="clear" w:fill="FFFFFF"/>
          <w14:textFill>
            <w14:solidFill>
              <w14:schemeClr w14:val="tx1"/>
            </w14:solidFill>
          </w14:textFill>
        </w:rPr>
        <w:t>2</w:t>
      </w:r>
      <w:r>
        <w:rPr>
          <w:rFonts w:hint="eastAsia" w:ascii="宋体" w:hAnsi="宋体" w:eastAsia="宋体" w:cs="宋体"/>
          <w:color w:val="000000" w:themeColor="text1"/>
          <w:sz w:val="24"/>
          <w:szCs w:val="24"/>
          <w:shd w:val="clear" w:fill="FFFFFF"/>
          <w14:textFill>
            <w14:solidFill>
              <w14:schemeClr w14:val="tx1"/>
            </w14:solidFill>
          </w14:textFill>
        </w:rPr>
        <w:t>个职能股室,包括:办公室、</w:t>
      </w:r>
      <w:r>
        <w:rPr>
          <w:rFonts w:hint="eastAsia" w:ascii="宋体" w:hAnsi="宋体" w:eastAsia="宋体" w:cs="宋体"/>
          <w:color w:val="000000" w:themeColor="text1"/>
          <w:spacing w:val="0"/>
          <w:sz w:val="24"/>
          <w:szCs w:val="24"/>
          <w:shd w:val="clear" w:fill="FFFFFF"/>
          <w14:textFill>
            <w14:solidFill>
              <w14:schemeClr w14:val="tx1"/>
            </w14:solidFill>
          </w14:textFill>
        </w:rPr>
        <w:t>财务室</w:t>
      </w:r>
      <w:r>
        <w:rPr>
          <w:rFonts w:hint="eastAsia" w:ascii="宋体" w:hAnsi="宋体" w:eastAsia="宋体" w:cs="宋体"/>
          <w:color w:val="000000" w:themeColor="text1"/>
          <w:sz w:val="24"/>
          <w:szCs w:val="24"/>
          <w:shd w:val="clear" w:fill="FFFFFF"/>
          <w14:textFill>
            <w14:solidFill>
              <w14:schemeClr w14:val="tx1"/>
            </w14:solidFill>
          </w14:textFill>
        </w:rPr>
        <w:t>。</w:t>
      </w:r>
    </w:p>
    <w:p w14:paraId="5C55FD3D">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第二部分2023年度部门决算表</w:t>
      </w:r>
    </w:p>
    <w:p w14:paraId="079188CB">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一、收入支出决算总表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3AC3468C">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二、收入决算表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564A433C">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三、支出决算表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2243CCE1">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四、财政拨款收入支出决算总表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529E910F">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五、一般公共预算财政拨款支出决算表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25738E2A">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六、一般公共预算财政拨款基本支出决算明细表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7C9D20ED">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七、政府性基金预算财政拨款收入支出决算表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24889E32">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八、国有资本经营预算财政拨款支出决算表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4DAB8E03">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九、财政拨款</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三公</w:t>
      </w:r>
      <w:r>
        <w:rPr>
          <w:rFonts w:hint="default"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经费支出决算表</w:t>
      </w:r>
      <w:r>
        <w:rPr>
          <w:rFonts w:hint="eastAsia" w:ascii="宋体" w:hAnsi="宋体" w:eastAsia="宋体" w:cs="宋体"/>
          <w:color w:val="000000" w:themeColor="text1"/>
          <w:sz w:val="24"/>
          <w:szCs w:val="24"/>
          <w:shd w:val="clear" w:fill="FFFFFF"/>
          <w14:textFill>
            <w14:solidFill>
              <w14:schemeClr w14:val="tx1"/>
            </w14:solidFill>
          </w14:textFill>
        </w:rPr>
        <w:t>（见附件）</w:t>
      </w:r>
    </w:p>
    <w:p w14:paraId="7138C00D">
      <w:pPr>
        <w:spacing w:before="100" w:beforeLines="0" w:after="100" w:afterLines="0"/>
        <w:jc w:val="center"/>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第三部分2023年度部门决算情况说明</w:t>
      </w:r>
    </w:p>
    <w:p w14:paraId="47A93877">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一、收入支出决算总体情况说明</w:t>
      </w:r>
    </w:p>
    <w:p w14:paraId="4705ABC4">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2023年度收、支总计</w:t>
      </w:r>
      <w:r>
        <w:rPr>
          <w:rFonts w:hint="eastAsia" w:ascii="宋体" w:hAnsi="宋体"/>
          <w:color w:val="000000" w:themeColor="text1"/>
          <w:sz w:val="24"/>
          <w:szCs w:val="24"/>
          <w:lang w:val="en-US"/>
          <w14:textFill>
            <w14:solidFill>
              <w14:schemeClr w14:val="tx1"/>
            </w14:solidFill>
          </w14:textFill>
        </w:rPr>
        <w:t>均为</w:t>
      </w:r>
      <w:r>
        <w:rPr>
          <w:rFonts w:hint="eastAsia" w:ascii="宋体" w:hAnsi="宋体"/>
          <w:color w:val="000000" w:themeColor="text1"/>
          <w:sz w:val="24"/>
          <w:szCs w:val="24"/>
          <w:lang w:val="zh-CN"/>
          <w14:textFill>
            <w14:solidFill>
              <w14:schemeClr w14:val="tx1"/>
            </w14:solidFill>
          </w14:textFill>
        </w:rPr>
        <w:t>317.37万元。</w:t>
      </w:r>
      <w:r>
        <w:rPr>
          <w:rFonts w:hint="eastAsia" w:ascii="宋体" w:hAnsi="宋体"/>
          <w:color w:val="000000" w:themeColor="text1"/>
          <w:sz w:val="24"/>
          <w:szCs w:val="24"/>
          <w:lang w:val="en-US"/>
          <w14:textFill>
            <w14:solidFill>
              <w14:schemeClr w14:val="tx1"/>
            </w14:solidFill>
          </w14:textFill>
        </w:rPr>
        <w:t>与上年度相比,</w:t>
      </w:r>
      <w:r>
        <w:rPr>
          <w:rFonts w:hint="eastAsia" w:ascii="宋体" w:hAnsi="宋体"/>
          <w:color w:val="000000" w:themeColor="text1"/>
          <w:sz w:val="24"/>
          <w:szCs w:val="24"/>
          <w:lang w:val="zh-CN"/>
          <w14:textFill>
            <w14:solidFill>
              <w14:schemeClr w14:val="tx1"/>
            </w14:solidFill>
          </w14:textFill>
        </w:rPr>
        <w:t>收、支</w:t>
      </w:r>
      <w:r>
        <w:rPr>
          <w:rFonts w:hint="eastAsia" w:ascii="宋体" w:hAnsi="宋体"/>
          <w:color w:val="000000" w:themeColor="text1"/>
          <w:sz w:val="24"/>
          <w:szCs w:val="24"/>
          <w:lang w:val="en-US"/>
          <w14:textFill>
            <w14:solidFill>
              <w14:schemeClr w14:val="tx1"/>
            </w14:solidFill>
          </w14:textFill>
        </w:rPr>
        <w:t>总计各</w:t>
      </w:r>
      <w:r>
        <w:rPr>
          <w:rFonts w:hint="eastAsia" w:ascii="宋体" w:hAnsi="宋体"/>
          <w:color w:val="000000" w:themeColor="text1"/>
          <w:sz w:val="24"/>
          <w:szCs w:val="24"/>
          <w:lang w:val="zh-CN"/>
          <w14:textFill>
            <w14:solidFill>
              <w14:schemeClr w14:val="tx1"/>
            </w14:solidFill>
          </w14:textFill>
        </w:rPr>
        <w:t>减少88.69万元,下降21.84%,</w:t>
      </w:r>
      <w:r>
        <w:rPr>
          <w:rFonts w:hint="eastAsia" w:ascii="宋体" w:hAnsi="宋体"/>
          <w:color w:val="000000" w:themeColor="text1"/>
          <w:sz w:val="24"/>
          <w:szCs w:val="24"/>
          <w:lang w:val="zh-CN"/>
          <w14:textFill>
            <w14:solidFill>
              <w14:schemeClr w14:val="tx1"/>
            </w14:solidFill>
          </w14:textFill>
        </w:rPr>
        <w:t>主要原因是教职工及学生人数减少。</w:t>
      </w:r>
    </w:p>
    <w:p w14:paraId="330418FD">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二、收入决算情况说明</w:t>
      </w:r>
    </w:p>
    <w:p w14:paraId="29D6AA59">
      <w:pPr>
        <w:spacing w:before="100" w:beforeLines="0" w:after="100" w:afterLines="0"/>
        <w:jc w:val="left"/>
        <w:rPr>
          <w:rFonts w:hint="eastAsia"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2023年度收入合计317.37万元,其中：财政拨款收入317.37万元,占100.00%</w:t>
      </w:r>
      <w:r>
        <w:rPr>
          <w:rFonts w:hint="eastAsia" w:ascii="宋体" w:hAnsi="宋体"/>
          <w:color w:val="000000" w:themeColor="text1"/>
          <w:sz w:val="24"/>
          <w:szCs w:val="24"/>
          <w:lang w:val="en-US" w:eastAsia="zh-CN"/>
          <w14:textFill>
            <w14:solidFill>
              <w14:schemeClr w14:val="tx1"/>
            </w14:solidFill>
          </w14:textFill>
        </w:rPr>
        <w:t>.</w:t>
      </w:r>
    </w:p>
    <w:p w14:paraId="551D562D">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三、支出决算情况说明</w:t>
      </w:r>
    </w:p>
    <w:p w14:paraId="546BA0EB">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2023年度支出合计317.37万元,其中：基本支出231.24万元,占72.86%；项目支出86.13万元,占27.14%。</w:t>
      </w:r>
    </w:p>
    <w:p w14:paraId="1FE1103D">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四、财政拨款收入支出决算总体情况说明</w:t>
      </w:r>
    </w:p>
    <w:p w14:paraId="605D82D5">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2023年度财政拨款收、支总计</w:t>
      </w:r>
      <w:r>
        <w:rPr>
          <w:rFonts w:hint="eastAsia" w:ascii="宋体" w:hAnsi="宋体"/>
          <w:color w:val="000000" w:themeColor="text1"/>
          <w:sz w:val="24"/>
          <w:szCs w:val="24"/>
          <w:lang w:val="en-US"/>
          <w14:textFill>
            <w14:solidFill>
              <w14:schemeClr w14:val="tx1"/>
            </w14:solidFill>
          </w14:textFill>
        </w:rPr>
        <w:t>均为</w:t>
      </w:r>
      <w:r>
        <w:rPr>
          <w:rFonts w:hint="eastAsia" w:ascii="宋体" w:hAnsi="宋体"/>
          <w:color w:val="000000" w:themeColor="text1"/>
          <w:sz w:val="24"/>
          <w:szCs w:val="24"/>
          <w:lang w:val="zh-CN"/>
          <w14:textFill>
            <w14:solidFill>
              <w14:schemeClr w14:val="tx1"/>
            </w14:solidFill>
          </w14:textFill>
        </w:rPr>
        <w:t>317.37万元。与</w:t>
      </w:r>
      <w:r>
        <w:rPr>
          <w:rFonts w:hint="eastAsia" w:ascii="宋体" w:hAnsi="宋体"/>
          <w:color w:val="000000" w:themeColor="text1"/>
          <w:sz w:val="24"/>
          <w:szCs w:val="24"/>
          <w:lang w:val="en-US"/>
          <w14:textFill>
            <w14:solidFill>
              <w14:schemeClr w14:val="tx1"/>
            </w14:solidFill>
          </w14:textFill>
        </w:rPr>
        <w:t>上</w:t>
      </w:r>
      <w:r>
        <w:rPr>
          <w:rFonts w:hint="eastAsia" w:ascii="宋体" w:hAnsi="宋体"/>
          <w:color w:val="000000" w:themeColor="text1"/>
          <w:sz w:val="24"/>
          <w:szCs w:val="24"/>
          <w:lang w:val="zh-CN"/>
          <w14:textFill>
            <w14:solidFill>
              <w14:schemeClr w14:val="tx1"/>
            </w14:solidFill>
          </w14:textFill>
        </w:rPr>
        <w:t>年相比,各减少88.69万元,下降21.84%。</w:t>
      </w:r>
      <w:r>
        <w:rPr>
          <w:rFonts w:hint="eastAsia" w:ascii="宋体" w:hAnsi="宋体"/>
          <w:color w:val="000000" w:themeColor="text1"/>
          <w:sz w:val="24"/>
          <w:szCs w:val="24"/>
          <w:lang w:val="zh-CN"/>
          <w14:textFill>
            <w14:solidFill>
              <w14:schemeClr w14:val="tx1"/>
            </w14:solidFill>
          </w14:textFill>
        </w:rPr>
        <w:t>主要原因是教职工及学生人数减少。</w:t>
      </w:r>
    </w:p>
    <w:p w14:paraId="20A96C1A">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五、一般公共预算财政拨款支出决算情况说明</w:t>
      </w:r>
    </w:p>
    <w:p w14:paraId="4AC9B3F2">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（一）一般公共预算财政拨款支出决算总体情况</w:t>
      </w:r>
    </w:p>
    <w:p w14:paraId="1C44AD5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2023年度一般公共预算财政拨款支出317.37万元,较上年决算数增加29.81万元,增长10.37%。</w:t>
      </w:r>
      <w:r>
        <w:rPr>
          <w:rFonts w:hint="eastAsia" w:ascii="宋体" w:hAnsi="宋体"/>
          <w:color w:val="000000" w:themeColor="text1"/>
          <w:sz w:val="24"/>
          <w:szCs w:val="24"/>
          <w:lang w:val="zh-CN"/>
          <w14:textFill>
            <w14:solidFill>
              <w14:schemeClr w14:val="tx1"/>
            </w14:solidFill>
          </w14:textFill>
        </w:rPr>
        <w:t>主要原因是项目支出增加和</w:t>
      </w:r>
      <w:r>
        <w:rPr>
          <w:rFonts w:hint="eastAsia" w:ascii="宋体" w:hAnsi="宋体" w:eastAsia="宋体" w:cs="宋体"/>
          <w:color w:val="000000" w:themeColor="text1"/>
          <w:spacing w:val="0"/>
          <w:sz w:val="24"/>
          <w:szCs w:val="24"/>
          <w:shd w:val="clear" w:fill="FFFFFF"/>
          <w14:textFill>
            <w14:solidFill>
              <w14:schemeClr w14:val="tx1"/>
            </w14:solidFill>
          </w14:textFill>
        </w:rPr>
        <w:t>其他工作安排</w:t>
      </w:r>
      <w:r>
        <w:rPr>
          <w:rFonts w:hint="eastAsia" w:ascii="宋体" w:hAnsi="宋体"/>
          <w:color w:val="000000" w:themeColor="text1"/>
          <w:sz w:val="24"/>
          <w:szCs w:val="24"/>
          <w:lang w:val="zh-CN"/>
          <w14:textFill>
            <w14:solidFill>
              <w14:schemeClr w14:val="tx1"/>
            </w14:solidFill>
          </w14:textFill>
        </w:rPr>
        <w:t>。</w:t>
      </w:r>
    </w:p>
    <w:p w14:paraId="5855268A">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524E28E7">
      <w:pPr>
        <w:numPr>
          <w:ilvl w:val="0"/>
          <w:numId w:val="0"/>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000000" w:themeColor="text1"/>
          <w:sz w:val="24"/>
          <w:szCs w:val="24"/>
          <w:lang w:val="zh-CN"/>
          <w14:textFill>
            <w14:solidFill>
              <w14:schemeClr w14:val="tx1"/>
            </w14:solidFill>
          </w14:textFill>
        </w:rPr>
        <w:t>317.37万元，主要用于以下方面：一般公共服务支出317.37万元,占</w:t>
      </w:r>
      <w:r>
        <w:rPr>
          <w:rFonts w:hint="eastAsia" w:ascii="宋体" w:hAnsi="宋体"/>
          <w:color w:val="000000" w:themeColor="text1"/>
          <w:sz w:val="24"/>
          <w:szCs w:val="24"/>
          <w:lang w:val="en-US" w:eastAsia="zh-CN"/>
          <w14:textFill>
            <w14:solidFill>
              <w14:schemeClr w14:val="tx1"/>
            </w14:solidFill>
          </w14:textFill>
        </w:rPr>
        <w:t>100</w:t>
      </w:r>
      <w:r>
        <w:rPr>
          <w:rFonts w:hint="eastAsia" w:ascii="宋体" w:hAnsi="宋体"/>
          <w:color w:val="000000" w:themeColor="text1"/>
          <w:sz w:val="24"/>
          <w:szCs w:val="24"/>
          <w:lang w:val="zh-CN"/>
          <w14:textFill>
            <w14:solidFill>
              <w14:schemeClr w14:val="tx1"/>
            </w14:solidFill>
          </w14:textFill>
        </w:rPr>
        <w:t>%。</w:t>
      </w:r>
    </w:p>
    <w:p w14:paraId="68060965">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483B3E2C">
      <w:pPr>
        <w:numPr>
          <w:ilvl w:val="0"/>
          <w:numId w:val="0"/>
        </w:numPr>
        <w:spacing w:before="100" w:beforeLines="0" w:after="100" w:afterLines="0"/>
        <w:ind w:left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000000" w:themeColor="text1"/>
          <w:sz w:val="24"/>
          <w:szCs w:val="24"/>
          <w:lang w:val="zh-CN"/>
          <w14:textFill>
            <w14:solidFill>
              <w14:schemeClr w14:val="tx1"/>
            </w14:solidFill>
          </w14:textFill>
        </w:rPr>
        <w:t>243.30万元,支出决算为317.37万元,完成年初预算的130.44%。其中：</w:t>
      </w:r>
    </w:p>
    <w:p w14:paraId="4A09DFDE">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Times New Roman" w:hAnsi="Times New Roman" w:eastAsia="宋体"/>
          <w:b/>
          <w:color w:val="000000" w:themeColor="text1"/>
          <w:sz w:val="24"/>
          <w:szCs w:val="24"/>
          <w:lang w:val="en-US" w:eastAsia="zh-CN"/>
          <w14:textFill>
            <w14:solidFill>
              <w14:schemeClr w14:val="tx1"/>
            </w14:solidFill>
          </w14:textFill>
        </w:rPr>
        <w:t>1</w:t>
      </w:r>
      <w:r>
        <w:rPr>
          <w:rFonts w:hint="eastAsia" w:ascii="宋体" w:hAnsi="宋体"/>
          <w:b/>
          <w:color w:val="000000" w:themeColor="text1"/>
          <w:sz w:val="24"/>
          <w:szCs w:val="24"/>
          <w:lang w:val="zh-CN"/>
          <w14:textFill>
            <w14:solidFill>
              <w14:schemeClr w14:val="tx1"/>
            </w14:solidFill>
          </w14:textFill>
        </w:rPr>
        <w:t>．教育支出</w:t>
      </w:r>
      <w:r>
        <w:rPr>
          <w:rFonts w:hint="eastAsia" w:ascii="宋体" w:hAnsi="宋体"/>
          <w:color w:val="000000" w:themeColor="text1"/>
          <w:sz w:val="24"/>
          <w:szCs w:val="24"/>
          <w:lang w:val="zh-CN"/>
          <w14:textFill>
            <w14:solidFill>
              <w14:schemeClr w14:val="tx1"/>
            </w14:solidFill>
          </w14:textFill>
        </w:rPr>
        <w:t>年初预算数为203.24万元,支出决算为297.29万元,完成年初预算的146.28%,决算数大于预算数的</w:t>
      </w:r>
      <w:r>
        <w:rPr>
          <w:rFonts w:hint="eastAsia" w:ascii="宋体" w:hAnsi="宋体"/>
          <w:color w:val="000000" w:themeColor="text1"/>
          <w:sz w:val="24"/>
          <w:szCs w:val="24"/>
          <w:lang w:val="zh-CN"/>
          <w14:textFill>
            <w14:solidFill>
              <w14:schemeClr w14:val="tx1"/>
            </w14:solidFill>
          </w14:textFill>
        </w:rPr>
        <w:t>主要原因是项目支出增加和</w:t>
      </w:r>
      <w:r>
        <w:rPr>
          <w:rFonts w:hint="eastAsia" w:ascii="宋体" w:hAnsi="宋体" w:eastAsia="宋体" w:cs="宋体"/>
          <w:color w:val="000000" w:themeColor="text1"/>
          <w:spacing w:val="0"/>
          <w:sz w:val="24"/>
          <w:szCs w:val="24"/>
          <w:shd w:val="clear" w:fill="FFFFFF"/>
          <w14:textFill>
            <w14:solidFill>
              <w14:schemeClr w14:val="tx1"/>
            </w14:solidFill>
          </w14:textFill>
        </w:rPr>
        <w:t>其他工作安排</w:t>
      </w:r>
      <w:r>
        <w:rPr>
          <w:rFonts w:hint="eastAsia" w:ascii="宋体" w:hAnsi="宋体"/>
          <w:color w:val="000000" w:themeColor="text1"/>
          <w:sz w:val="24"/>
          <w:szCs w:val="24"/>
          <w:lang w:val="zh-CN"/>
          <w14:textFill>
            <w14:solidFill>
              <w14:schemeClr w14:val="tx1"/>
            </w14:solidFill>
          </w14:textFill>
        </w:rPr>
        <w:t>。</w:t>
      </w:r>
    </w:p>
    <w:p w14:paraId="14AF996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Times New Roman" w:hAnsi="Times New Roman" w:eastAsia="宋体"/>
          <w:b/>
          <w:color w:val="000000" w:themeColor="text1"/>
          <w:sz w:val="24"/>
          <w:szCs w:val="24"/>
          <w:lang w:val="en-US" w:eastAsia="zh-CN"/>
          <w14:textFill>
            <w14:solidFill>
              <w14:schemeClr w14:val="tx1"/>
            </w14:solidFill>
          </w14:textFill>
        </w:rPr>
        <w:t>2</w:t>
      </w:r>
      <w:r>
        <w:rPr>
          <w:rFonts w:hint="eastAsia" w:ascii="宋体" w:hAnsi="宋体"/>
          <w:b/>
          <w:color w:val="000000" w:themeColor="text1"/>
          <w:sz w:val="24"/>
          <w:szCs w:val="24"/>
          <w:lang w:val="zh-CN"/>
          <w14:textFill>
            <w14:solidFill>
              <w14:schemeClr w14:val="tx1"/>
            </w14:solidFill>
          </w14:textFill>
        </w:rPr>
        <w:t>．社会保障和就业支出</w:t>
      </w:r>
      <w:r>
        <w:rPr>
          <w:rFonts w:hint="eastAsia" w:ascii="宋体" w:hAnsi="宋体"/>
          <w:color w:val="000000" w:themeColor="text1"/>
          <w:sz w:val="24"/>
          <w:szCs w:val="24"/>
          <w:lang w:val="zh-CN"/>
          <w14:textFill>
            <w14:solidFill>
              <w14:schemeClr w14:val="tx1"/>
            </w14:solidFill>
          </w14:textFill>
        </w:rPr>
        <w:t>年初预算数为24.42万元,支出决算为4.71万元,完成年初预算的19.3%,决算数小于预算数的</w:t>
      </w:r>
      <w:r>
        <w:rPr>
          <w:rFonts w:hint="eastAsia" w:ascii="宋体" w:hAnsi="宋体"/>
          <w:color w:val="000000" w:themeColor="text1"/>
          <w:sz w:val="24"/>
          <w:szCs w:val="24"/>
          <w:lang w:val="zh-CN"/>
          <w14:textFill>
            <w14:solidFill>
              <w14:schemeClr w14:val="tx1"/>
            </w14:solidFill>
          </w14:textFill>
        </w:rPr>
        <w:t>主要原因是教职工人数减少。</w:t>
      </w:r>
    </w:p>
    <w:p w14:paraId="466DE69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Times New Roman" w:hAnsi="Times New Roman" w:eastAsia="宋体"/>
          <w:b/>
          <w:color w:val="000000" w:themeColor="text1"/>
          <w:sz w:val="24"/>
          <w:szCs w:val="24"/>
          <w:lang w:val="en-US" w:eastAsia="zh-CN"/>
          <w14:textFill>
            <w14:solidFill>
              <w14:schemeClr w14:val="tx1"/>
            </w14:solidFill>
          </w14:textFill>
        </w:rPr>
        <w:t>3</w:t>
      </w:r>
      <w:r>
        <w:rPr>
          <w:rFonts w:hint="eastAsia" w:ascii="宋体" w:hAnsi="宋体"/>
          <w:b/>
          <w:color w:val="000000" w:themeColor="text1"/>
          <w:sz w:val="24"/>
          <w:szCs w:val="24"/>
          <w:lang w:val="zh-CN"/>
          <w14:textFill>
            <w14:solidFill>
              <w14:schemeClr w14:val="tx1"/>
            </w14:solidFill>
          </w14:textFill>
        </w:rPr>
        <w:t>．卫生健康支出</w:t>
      </w:r>
      <w:r>
        <w:rPr>
          <w:rFonts w:hint="eastAsia" w:ascii="宋体" w:hAnsi="宋体"/>
          <w:color w:val="000000" w:themeColor="text1"/>
          <w:sz w:val="24"/>
          <w:szCs w:val="24"/>
          <w:lang w:val="zh-CN"/>
          <w14:textFill>
            <w14:solidFill>
              <w14:schemeClr w14:val="tx1"/>
            </w14:solidFill>
          </w14:textFill>
        </w:rPr>
        <w:t>年初预算数为15.65万元,支出决算为15.37万元,完成年初预算的98.18%,决算数小于预算数的</w:t>
      </w:r>
      <w:r>
        <w:rPr>
          <w:rFonts w:hint="eastAsia" w:ascii="宋体" w:hAnsi="宋体"/>
          <w:color w:val="000000" w:themeColor="text1"/>
          <w:sz w:val="24"/>
          <w:szCs w:val="24"/>
          <w:lang w:val="zh-CN"/>
          <w14:textFill>
            <w14:solidFill>
              <w14:schemeClr w14:val="tx1"/>
            </w14:solidFill>
          </w14:textFill>
        </w:rPr>
        <w:t>主要原因是教职工人数减少。</w:t>
      </w:r>
    </w:p>
    <w:p w14:paraId="46655107">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六、一般公共预算财政拨款基本支出决算情况说明</w:t>
      </w:r>
    </w:p>
    <w:p w14:paraId="3BB42C92">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2023年度一般公共预算财政拨款基本支出231.24万元。其中：</w:t>
      </w:r>
    </w:p>
    <w:p w14:paraId="7A97291E">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人员经费</w:t>
      </w:r>
      <w:r>
        <w:rPr>
          <w:rFonts w:hint="eastAsia" w:ascii="宋体" w:hAnsi="宋体"/>
          <w:color w:val="000000" w:themeColor="text1"/>
          <w:sz w:val="24"/>
          <w:szCs w:val="24"/>
          <w:lang w:val="zh-CN"/>
          <w14:textFill>
            <w14:solidFill>
              <w14:schemeClr w14:val="tx1"/>
            </w14:solidFill>
          </w14:textFill>
        </w:rPr>
        <w:t>227.67万元,较上年决算数减少17.16万元,下降7.01%,</w:t>
      </w:r>
      <w:r>
        <w:rPr>
          <w:rFonts w:hint="eastAsia" w:ascii="宋体" w:hAnsi="宋体"/>
          <w:color w:val="000000" w:themeColor="text1"/>
          <w:sz w:val="24"/>
          <w:szCs w:val="24"/>
          <w:lang w:val="zh-CN"/>
          <w14:textFill>
            <w14:solidFill>
              <w14:schemeClr w14:val="tx1"/>
            </w14:solidFill>
          </w14:textFill>
        </w:rPr>
        <w:t>主要原因是.教职工人数减少。</w:t>
      </w:r>
      <w:r>
        <w:rPr>
          <w:rFonts w:hint="eastAsia" w:ascii="宋体" w:hAnsi="宋体"/>
          <w:color w:val="000000" w:themeColor="text1"/>
          <w:sz w:val="24"/>
          <w:szCs w:val="24"/>
          <w:lang w:val="zh-CN"/>
          <w14:textFill>
            <w14:solidFill>
              <w14:schemeClr w14:val="tx1"/>
            </w14:solidFill>
          </w14:textFill>
        </w:rPr>
        <w:t>人员经费用途</w:t>
      </w:r>
      <w:r>
        <w:rPr>
          <w:rFonts w:hint="eastAsia" w:ascii="宋体" w:hAnsi="宋体"/>
          <w:color w:val="000000" w:themeColor="text1"/>
          <w:sz w:val="24"/>
          <w:szCs w:val="24"/>
          <w:lang w:val="zh-CN"/>
          <w14:textFill>
            <w14:solidFill>
              <w14:schemeClr w14:val="tx1"/>
            </w14:solidFill>
          </w14:textFill>
        </w:rPr>
        <w:t>主要包括：基本工资、津贴补贴、奖金、社会保障缴费、卫生健康缴费、</w:t>
      </w:r>
      <w:r>
        <w:rPr>
          <w:rFonts w:hint="eastAsia" w:ascii="宋体" w:hAnsi="宋体" w:eastAsia="宋体" w:cs="宋体"/>
          <w:color w:val="000000" w:themeColor="text1"/>
          <w:sz w:val="24"/>
          <w:szCs w:val="24"/>
          <w:shd w:val="clear" w:fill="FFFFFF"/>
          <w14:textFill>
            <w14:solidFill>
              <w14:schemeClr w14:val="tx1"/>
            </w14:solidFill>
          </w14:textFill>
        </w:rPr>
        <w:t>家庭生活补助、奖励金</w:t>
      </w:r>
      <w:r>
        <w:rPr>
          <w:rFonts w:hint="eastAsia" w:ascii="宋体" w:hAnsi="宋体"/>
          <w:color w:val="000000" w:themeColor="text1"/>
          <w:sz w:val="24"/>
          <w:szCs w:val="24"/>
          <w:lang w:val="zh-CN"/>
          <w14:textFill>
            <w14:solidFill>
              <w14:schemeClr w14:val="tx1"/>
            </w14:solidFill>
          </w14:textFill>
        </w:rPr>
        <w:t>。</w:t>
      </w:r>
    </w:p>
    <w:p w14:paraId="71AEABDE">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000000" w:themeColor="text1"/>
          <w:sz w:val="24"/>
          <w:szCs w:val="24"/>
          <w:lang w:val="zh-CN"/>
          <w14:textFill>
            <w14:solidFill>
              <w14:schemeClr w14:val="tx1"/>
            </w14:solidFill>
          </w14:textFill>
        </w:rPr>
        <w:t>公用经费</w:t>
      </w:r>
      <w:r>
        <w:rPr>
          <w:rFonts w:hint="eastAsia" w:ascii="宋体" w:hAnsi="宋体"/>
          <w:color w:val="000000" w:themeColor="text1"/>
          <w:sz w:val="24"/>
          <w:szCs w:val="24"/>
          <w:lang w:val="zh-CN"/>
          <w14:textFill>
            <w14:solidFill>
              <w14:schemeClr w14:val="tx1"/>
            </w14:solidFill>
          </w14:textFill>
        </w:rPr>
        <w:t>3.57万元,较上年决算数减少39.15万元,下降91.63%,</w:t>
      </w:r>
      <w:r>
        <w:rPr>
          <w:rFonts w:hint="eastAsia" w:ascii="宋体" w:hAnsi="宋体"/>
          <w:color w:val="000000" w:themeColor="text1"/>
          <w:sz w:val="24"/>
          <w:szCs w:val="24"/>
          <w:lang w:val="zh-CN"/>
          <w14:textFill>
            <w14:solidFill>
              <w14:schemeClr w14:val="tx1"/>
            </w14:solidFill>
          </w14:textFill>
        </w:rPr>
        <w:t>主要原因是教职工人数减少，学生人数减少等(</w:t>
      </w:r>
      <w:r>
        <w:rPr>
          <w:rFonts w:hint="eastAsia" w:ascii="宋体" w:hAnsi="宋体"/>
          <w:color w:val="000000" w:themeColor="text1"/>
          <w:sz w:val="24"/>
          <w:szCs w:val="24"/>
          <w:lang w:val="zh-CN"/>
          <w14:textFill>
            <w14:solidFill>
              <w14:schemeClr w14:val="tx1"/>
            </w14:solidFill>
          </w14:textFill>
        </w:rPr>
        <w:t>。公用经费用途</w:t>
      </w:r>
      <w:r>
        <w:rPr>
          <w:rFonts w:hint="eastAsia" w:ascii="宋体" w:hAnsi="宋体"/>
          <w:color w:val="000000" w:themeColor="text1"/>
          <w:sz w:val="24"/>
          <w:szCs w:val="24"/>
          <w:lang w:val="zh-CN"/>
          <w14:textFill>
            <w14:solidFill>
              <w14:schemeClr w14:val="tx1"/>
            </w14:solidFill>
          </w14:textFill>
        </w:rPr>
        <w:t>主要包办公费、印刷费、</w:t>
      </w:r>
      <w:r>
        <w:rPr>
          <w:rFonts w:hint="eastAsia" w:ascii="宋体" w:hAnsi="宋体" w:eastAsia="宋体" w:cs="宋体"/>
          <w:color w:val="000000" w:themeColor="text1"/>
          <w:sz w:val="24"/>
          <w:szCs w:val="24"/>
          <w:shd w:val="clear" w:fill="FFFFFF"/>
          <w14:textFill>
            <w14:solidFill>
              <w14:schemeClr w14:val="tx1"/>
            </w14:solidFill>
          </w14:textFill>
        </w:rPr>
        <w:t>取暖费、福利费、工会费、</w:t>
      </w:r>
      <w:r>
        <w:rPr>
          <w:rFonts w:hint="eastAsia" w:ascii="宋体" w:hAnsi="宋体"/>
          <w:color w:val="000000" w:themeColor="text1"/>
          <w:sz w:val="24"/>
          <w:szCs w:val="24"/>
          <w:lang w:val="zh-CN"/>
          <w14:textFill>
            <w14:solidFill>
              <w14:schemeClr w14:val="tx1"/>
            </w14:solidFill>
          </w14:textFill>
        </w:rPr>
        <w:t>水电费、邮电费、培训费、差旅费、</w:t>
      </w:r>
      <w:r>
        <w:rPr>
          <w:rFonts w:hint="eastAsia" w:ascii="宋体" w:hAnsi="宋体" w:eastAsia="宋体" w:cs="宋体"/>
          <w:color w:val="000000" w:themeColor="text1"/>
          <w:sz w:val="24"/>
          <w:szCs w:val="24"/>
          <w:shd w:val="clear" w:fill="FFFFFF"/>
          <w14:textFill>
            <w14:solidFill>
              <w14:schemeClr w14:val="tx1"/>
            </w14:solidFill>
          </w14:textFill>
        </w:rPr>
        <w:t>维修（护）费</w:t>
      </w:r>
      <w:r>
        <w:rPr>
          <w:rFonts w:hint="eastAsia" w:ascii="宋体" w:hAnsi="宋体"/>
          <w:color w:val="000000" w:themeColor="text1"/>
          <w:sz w:val="24"/>
          <w:szCs w:val="24"/>
          <w:lang w:val="zh-CN"/>
          <w14:textFill>
            <w14:solidFill>
              <w14:schemeClr w14:val="tx1"/>
            </w14:solidFill>
          </w14:textFill>
        </w:rPr>
        <w:t>。</w:t>
      </w:r>
    </w:p>
    <w:p w14:paraId="539BF846">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七、政府性基金预算财政拨款收支决算情况说明</w:t>
      </w:r>
    </w:p>
    <w:p w14:paraId="51BD8B8B">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本部门2023年度无政府性基金收入,也没有使用政府性基金安排的支出。</w:t>
      </w:r>
    </w:p>
    <w:p w14:paraId="2BD672EB">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八、国有资本经营预算财政拨款支出情况说明</w:t>
      </w:r>
    </w:p>
    <w:p w14:paraId="697FA6EF">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本部门2023年度没有使用国有资本经营预算安排的支出。</w:t>
      </w:r>
    </w:p>
    <w:p w14:paraId="0D2E7343">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en-US" w:eastAsia="zh-CN"/>
          <w14:textFill>
            <w14:solidFill>
              <w14:schemeClr w14:val="tx1"/>
            </w14:solidFill>
          </w14:textFill>
        </w:rPr>
        <w:t>九</w:t>
      </w:r>
      <w:r>
        <w:rPr>
          <w:rFonts w:hint="eastAsia" w:ascii="宋体" w:hAnsi="宋体"/>
          <w:b/>
          <w:bCs/>
          <w:color w:val="000000" w:themeColor="text1"/>
          <w:sz w:val="24"/>
          <w:szCs w:val="24"/>
          <w:lang w:val="zh-CN" w:eastAsia="zh-CN"/>
          <w14:textFill>
            <w14:solidFill>
              <w14:schemeClr w14:val="tx1"/>
            </w14:solidFill>
          </w14:textFill>
        </w:rPr>
        <w:t>、财政拨款</w:t>
      </w:r>
      <w:r>
        <w:rPr>
          <w:rFonts w:hint="default" w:ascii="宋体" w:hAnsi="宋体"/>
          <w:b/>
          <w:bCs/>
          <w:color w:val="000000" w:themeColor="text1"/>
          <w:sz w:val="24"/>
          <w:szCs w:val="24"/>
          <w:lang w:val="zh-CN" w:eastAsia="zh-CN"/>
          <w14:textFill>
            <w14:solidFill>
              <w14:schemeClr w14:val="tx1"/>
            </w14:solidFill>
          </w14:textFill>
        </w:rPr>
        <w:t>“</w:t>
      </w:r>
      <w:r>
        <w:rPr>
          <w:rFonts w:hint="eastAsia" w:ascii="宋体" w:hAnsi="宋体"/>
          <w:b/>
          <w:bCs/>
          <w:color w:val="000000" w:themeColor="text1"/>
          <w:sz w:val="24"/>
          <w:szCs w:val="24"/>
          <w:lang w:val="zh-CN" w:eastAsia="zh-CN"/>
          <w14:textFill>
            <w14:solidFill>
              <w14:schemeClr w14:val="tx1"/>
            </w14:solidFill>
          </w14:textFill>
        </w:rPr>
        <w:t>三公</w:t>
      </w:r>
      <w:r>
        <w:rPr>
          <w:rFonts w:hint="default" w:ascii="宋体" w:hAnsi="宋体"/>
          <w:b/>
          <w:bCs/>
          <w:color w:val="000000" w:themeColor="text1"/>
          <w:sz w:val="24"/>
          <w:szCs w:val="24"/>
          <w:lang w:val="zh-CN" w:eastAsia="zh-CN"/>
          <w14:textFill>
            <w14:solidFill>
              <w14:schemeClr w14:val="tx1"/>
            </w14:solidFill>
          </w14:textFill>
        </w:rPr>
        <w:t>”</w:t>
      </w:r>
      <w:r>
        <w:rPr>
          <w:rFonts w:hint="eastAsia" w:ascii="宋体" w:hAnsi="宋体"/>
          <w:b/>
          <w:bCs/>
          <w:color w:val="000000" w:themeColor="text1"/>
          <w:sz w:val="24"/>
          <w:szCs w:val="24"/>
          <w:lang w:val="zh-CN" w:eastAsia="zh-CN"/>
          <w14:textFill>
            <w14:solidFill>
              <w14:schemeClr w14:val="tx1"/>
            </w14:solidFill>
          </w14:textFill>
        </w:rPr>
        <w:t>经费支出决算情况说明</w:t>
      </w:r>
    </w:p>
    <w:p w14:paraId="69174394">
      <w:pPr>
        <w:spacing w:before="100" w:beforeLines="0" w:after="100" w:afterLines="0"/>
        <w:jc w:val="left"/>
        <w:rPr>
          <w:rFonts w:hint="eastAsia" w:ascii="宋体" w:hAnsi="宋体" w:eastAsia="宋体" w:cs="宋体"/>
          <w:color w:val="000000" w:themeColor="text1"/>
          <w:sz w:val="24"/>
          <w:szCs w:val="24"/>
          <w:shd w:val="clear" w:fill="FFFFFF"/>
          <w14:textFill>
            <w14:solidFill>
              <w14:schemeClr w14:val="tx1"/>
            </w14:solidFill>
          </w14:textFill>
        </w:rPr>
      </w:pPr>
      <w:r>
        <w:rPr>
          <w:rFonts w:hint="eastAsia" w:ascii="宋体" w:hAnsi="宋体" w:eastAsia="宋体" w:cs="宋体"/>
          <w:color w:val="000000" w:themeColor="text1"/>
          <w:sz w:val="24"/>
          <w:szCs w:val="24"/>
          <w:shd w:val="clear" w:fill="FFFFFF"/>
          <w14:textFill>
            <w14:solidFill>
              <w14:schemeClr w14:val="tx1"/>
            </w14:solidFill>
          </w14:textFill>
        </w:rPr>
        <w:t>我单位属于公益性事业单位,财政未保障我单位“三公”经费。</w:t>
      </w:r>
    </w:p>
    <w:p w14:paraId="08362E16">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en-US" w:eastAsia="zh-CN"/>
          <w14:textFill>
            <w14:solidFill>
              <w14:schemeClr w14:val="tx1"/>
            </w14:solidFill>
          </w14:textFill>
        </w:rPr>
        <w:t>十</w:t>
      </w:r>
      <w:r>
        <w:rPr>
          <w:rFonts w:hint="eastAsia" w:ascii="宋体" w:hAnsi="宋体"/>
          <w:b/>
          <w:bCs/>
          <w:color w:val="000000" w:themeColor="text1"/>
          <w:sz w:val="24"/>
          <w:szCs w:val="24"/>
          <w:lang w:val="zh-CN" w:eastAsia="zh-CN"/>
          <w14:textFill>
            <w14:solidFill>
              <w14:schemeClr w14:val="tx1"/>
            </w14:solidFill>
          </w14:textFill>
        </w:rPr>
        <w:t>、机关运行经费支出情况说明</w:t>
      </w:r>
    </w:p>
    <w:p w14:paraId="501F995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本年度培训费支出0.83万元,较上年决算数增加0.67万元,增长446.67%,</w:t>
      </w:r>
      <w:r>
        <w:rPr>
          <w:rFonts w:hint="eastAsia" w:ascii="宋体" w:hAnsi="宋体"/>
          <w:color w:val="000000" w:themeColor="text1"/>
          <w:sz w:val="24"/>
          <w:szCs w:val="24"/>
          <w:lang w:val="zh-CN"/>
          <w14:textFill>
            <w14:solidFill>
              <w14:schemeClr w14:val="tx1"/>
            </w14:solidFill>
          </w14:textFill>
        </w:rPr>
        <w:t>主要原因是外出培训人员增加。</w:t>
      </w:r>
    </w:p>
    <w:p w14:paraId="16519D50">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十一、政府采购支出情况说明</w:t>
      </w:r>
    </w:p>
    <w:p w14:paraId="50835190">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我单位2023年度无政府采购相关经费。</w:t>
      </w:r>
    </w:p>
    <w:p w14:paraId="6BC97BEF">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en-US" w:eastAsia="zh-CN"/>
          <w14:textFill>
            <w14:solidFill>
              <w14:schemeClr w14:val="tx1"/>
            </w14:solidFill>
          </w14:textFill>
        </w:rPr>
        <w:t>十二</w:t>
      </w:r>
      <w:r>
        <w:rPr>
          <w:rFonts w:hint="eastAsia" w:ascii="宋体" w:hAnsi="宋体"/>
          <w:b/>
          <w:bCs/>
          <w:color w:val="000000" w:themeColor="text1"/>
          <w:sz w:val="24"/>
          <w:szCs w:val="24"/>
          <w:lang w:val="zh-CN" w:eastAsia="zh-CN"/>
          <w14:textFill>
            <w14:solidFill>
              <w14:schemeClr w14:val="tx1"/>
            </w14:solidFill>
          </w14:textFill>
        </w:rPr>
        <w:t>、国有资产占用情况说明</w:t>
      </w:r>
    </w:p>
    <w:p w14:paraId="4EBBC240">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截至2023年12月31日,本部门共有车辆0辆,其中,副部(省)级及以上领导用车0辆、主要领导干部用车0辆、机要通信用车0辆、应急保障用车0辆、执法执勤用车0辆,特种专业技术用车0辆,离退休干部用车0辆,其他用车0辆</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zh-CN"/>
          <w14:textFill>
            <w14:solidFill>
              <w14:schemeClr w14:val="tx1"/>
            </w14:solidFill>
          </w14:textFill>
        </w:rPr>
        <w:t>单价100万元(含)以上设备0台(套)。</w:t>
      </w:r>
    </w:p>
    <w:p w14:paraId="3C744246">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十三、其他需要说明的情况</w:t>
      </w:r>
    </w:p>
    <w:p w14:paraId="120DBA57">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由于决算公开表格中金额数值应当保留两位小数，公开数据为四舍五入计算结果，个别数据合计项与分项之和存在小数点后差额，特此说明。</w:t>
      </w:r>
    </w:p>
    <w:p w14:paraId="702E354E">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p>
    <w:p w14:paraId="3EC007B2">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p>
    <w:p w14:paraId="7B5E599F">
      <w:pPr>
        <w:spacing w:before="100" w:beforeLines="0" w:after="100" w:afterLines="0"/>
        <w:jc w:val="center"/>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第四部分</w:t>
      </w:r>
      <w:r>
        <w:rPr>
          <w:rFonts w:hint="eastAsia" w:ascii="宋体" w:hAnsi="宋体"/>
          <w:b/>
          <w:bCs/>
          <w:color w:val="000000" w:themeColor="text1"/>
          <w:sz w:val="24"/>
          <w:szCs w:val="24"/>
          <w:lang w:val="en-US" w:eastAsia="zh-CN"/>
          <w14:textFill>
            <w14:solidFill>
              <w14:schemeClr w14:val="tx1"/>
            </w14:solidFill>
          </w14:textFill>
        </w:rPr>
        <w:t xml:space="preserve">  </w:t>
      </w:r>
      <w:r>
        <w:rPr>
          <w:rFonts w:hint="eastAsia" w:ascii="宋体" w:hAnsi="宋体"/>
          <w:b/>
          <w:bCs/>
          <w:color w:val="000000" w:themeColor="text1"/>
          <w:sz w:val="24"/>
          <w:szCs w:val="24"/>
          <w:lang w:val="zh-CN" w:eastAsia="zh-CN"/>
          <w14:textFill>
            <w14:solidFill>
              <w14:schemeClr w14:val="tx1"/>
            </w14:solidFill>
          </w14:textFill>
        </w:rPr>
        <w:t>预算绩效情况说明</w:t>
      </w:r>
    </w:p>
    <w:p w14:paraId="0DD31875">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(若单位未开展绩效评价工作,请在此项下注明本单位未开展预算绩效管理,若有附件,请插入附件。)</w:t>
      </w:r>
    </w:p>
    <w:p w14:paraId="68760E33">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一、预算绩效管理工作开展情况</w:t>
      </w:r>
    </w:p>
    <w:p w14:paraId="4E59334C">
      <w:pPr>
        <w:keepNext/>
        <w:keepLines/>
        <w:suppressLineNumbers/>
        <w:spacing w:beforeLines="0" w:afterLines="0"/>
        <w:ind w:firstLine="480" w:firstLineChars="200"/>
        <w:jc w:val="both"/>
        <w:rPr>
          <w:rFonts w:hint="eastAsia" w:ascii="宋体" w:hAnsi="宋体" w:eastAsia="宋体" w:cs="宋体"/>
          <w:color w:val="000000" w:themeColor="text1"/>
          <w:kern w:val="0"/>
          <w:sz w:val="24"/>
          <w:szCs w:val="24"/>
          <w:lang w:val="en-US"/>
          <w14:textFill>
            <w14:solidFill>
              <w14:schemeClr w14:val="tx1"/>
            </w14:solidFill>
          </w14:textFill>
        </w:rPr>
      </w:pPr>
      <w:r>
        <w:rPr>
          <w:rFonts w:hint="eastAsia" w:ascii="宋体" w:hAnsi="宋体" w:eastAsia="宋体" w:cs="宋体"/>
          <w:color w:val="000000" w:themeColor="text1"/>
          <w:sz w:val="24"/>
          <w:szCs w:val="24"/>
          <w:shd w:val="clear" w:fill="FFFFFF"/>
          <w14:textFill>
            <w14:solidFill>
              <w14:schemeClr w14:val="tx1"/>
            </w14:solidFill>
          </w14:textFill>
        </w:rPr>
        <w:t>根据预算绩效管理要求,本单位对202</w:t>
      </w:r>
      <w:r>
        <w:rPr>
          <w:rFonts w:hint="eastAsia" w:ascii="宋体" w:hAnsi="宋体" w:eastAsia="宋体" w:cs="宋体"/>
          <w:color w:val="000000" w:themeColor="text1"/>
          <w:sz w:val="24"/>
          <w:szCs w:val="24"/>
          <w:shd w:val="clear" w:fill="FFFFFF"/>
          <w:lang w:val="en-US" w:eastAsia="zh-CN"/>
          <w14:textFill>
            <w14:solidFill>
              <w14:schemeClr w14:val="tx1"/>
            </w14:solidFill>
          </w14:textFill>
        </w:rPr>
        <w:t>3</w:t>
      </w:r>
      <w:r>
        <w:rPr>
          <w:rFonts w:hint="eastAsia" w:ascii="宋体" w:hAnsi="宋体" w:eastAsia="宋体" w:cs="宋体"/>
          <w:color w:val="000000" w:themeColor="text1"/>
          <w:sz w:val="24"/>
          <w:szCs w:val="24"/>
          <w:shd w:val="clear" w:fill="FFFFFF"/>
          <w14:textFill>
            <w14:solidFill>
              <w14:schemeClr w14:val="tx1"/>
            </w14:solidFill>
          </w14:textFill>
        </w:rPr>
        <w:t>年度一般公共预算项目支出开展绩效自评,对202</w:t>
      </w:r>
      <w:r>
        <w:rPr>
          <w:rFonts w:hint="eastAsia" w:ascii="宋体" w:hAnsi="宋体" w:eastAsia="宋体" w:cs="宋体"/>
          <w:color w:val="000000" w:themeColor="text1"/>
          <w:sz w:val="24"/>
          <w:szCs w:val="24"/>
          <w:shd w:val="clear" w:fill="FFFFFF"/>
          <w:lang w:val="en-US" w:eastAsia="zh-CN"/>
          <w14:textFill>
            <w14:solidFill>
              <w14:schemeClr w14:val="tx1"/>
            </w14:solidFill>
          </w14:textFill>
        </w:rPr>
        <w:t>3</w:t>
      </w:r>
      <w:r>
        <w:rPr>
          <w:rFonts w:hint="eastAsia" w:ascii="宋体" w:hAnsi="宋体" w:eastAsia="宋体" w:cs="宋体"/>
          <w:color w:val="000000" w:themeColor="text1"/>
          <w:sz w:val="24"/>
          <w:szCs w:val="24"/>
          <w:shd w:val="clear" w:fill="FFFFFF"/>
          <w14:textFill>
            <w14:solidFill>
              <w14:schemeClr w14:val="tx1"/>
            </w14:solidFill>
          </w14:textFill>
        </w:rPr>
        <w:t>年整体支出开展了绩效自评共涉及资金</w:t>
      </w:r>
      <w:r>
        <w:rPr>
          <w:rFonts w:hint="eastAsia" w:ascii="宋体" w:hAnsi="宋体"/>
          <w:color w:val="000000" w:themeColor="text1"/>
          <w:sz w:val="24"/>
          <w:szCs w:val="24"/>
          <w:lang w:val="zh-CN"/>
          <w14:textFill>
            <w14:solidFill>
              <w14:schemeClr w14:val="tx1"/>
            </w14:solidFill>
          </w14:textFill>
        </w:rPr>
        <w:t>317.37万元</w:t>
      </w:r>
      <w:r>
        <w:rPr>
          <w:rFonts w:hint="eastAsia" w:ascii="宋体" w:hAnsi="宋体" w:eastAsia="宋体" w:cs="宋体"/>
          <w:color w:val="000000" w:themeColor="text1"/>
          <w:sz w:val="24"/>
          <w:szCs w:val="24"/>
          <w:shd w:val="clear" w:fill="FFFFFF"/>
          <w14:textFill>
            <w14:solidFill>
              <w14:schemeClr w14:val="tx1"/>
            </w14:solidFill>
          </w14:textFill>
        </w:rPr>
        <w:t>,占一般公共预算项目支出总额的100%。从评价情况来看,自评得分100分。其中,一级项目2个,二级项目0个,共涉及资金</w:t>
      </w:r>
      <w:r>
        <w:rPr>
          <w:rFonts w:hint="eastAsia" w:ascii="宋体" w:hAnsi="宋体" w:cs="宋体"/>
          <w:color w:val="000000" w:themeColor="text1"/>
          <w:sz w:val="24"/>
          <w:szCs w:val="24"/>
          <w:shd w:val="clear" w:fill="FFFFFF"/>
          <w:lang w:val="en-US" w:eastAsia="zh-CN"/>
          <w14:textFill>
            <w14:solidFill>
              <w14:schemeClr w14:val="tx1"/>
            </w14:solidFill>
          </w14:textFill>
        </w:rPr>
        <w:t>1.88万</w:t>
      </w:r>
      <w:r>
        <w:rPr>
          <w:rFonts w:hint="eastAsia" w:ascii="宋体" w:hAnsi="宋体" w:eastAsia="宋体" w:cs="宋体"/>
          <w:color w:val="000000" w:themeColor="text1"/>
          <w:sz w:val="24"/>
          <w:szCs w:val="24"/>
          <w:shd w:val="clear" w:fill="FFFFFF"/>
          <w14:textFill>
            <w14:solidFill>
              <w14:schemeClr w14:val="tx1"/>
            </w14:solidFill>
          </w14:textFill>
        </w:rPr>
        <w:t>元,占一般公共预算项目支出总额的100%。组织对“学生营养餐”“困难学生生活补助”等2个项目开展了部门评价,涉及一般公共预算支出</w:t>
      </w:r>
      <w:r>
        <w:rPr>
          <w:rFonts w:hint="eastAsia" w:ascii="宋体" w:hAnsi="宋体" w:cs="宋体"/>
          <w:color w:val="000000" w:themeColor="text1"/>
          <w:sz w:val="24"/>
          <w:szCs w:val="24"/>
          <w:shd w:val="clear" w:fill="FFFFFF"/>
          <w:lang w:val="en-US" w:eastAsia="zh-CN"/>
          <w14:textFill>
            <w14:solidFill>
              <w14:schemeClr w14:val="tx1"/>
            </w14:solidFill>
          </w14:textFill>
        </w:rPr>
        <w:t>1.88万</w:t>
      </w:r>
      <w:r>
        <w:rPr>
          <w:rFonts w:hint="eastAsia" w:ascii="宋体" w:hAnsi="宋体" w:eastAsia="宋体" w:cs="宋体"/>
          <w:color w:val="000000" w:themeColor="text1"/>
          <w:sz w:val="24"/>
          <w:szCs w:val="24"/>
          <w:shd w:val="clear" w:fill="FFFFFF"/>
          <w14:textFill>
            <w14:solidFill>
              <w14:schemeClr w14:val="tx1"/>
            </w14:solidFill>
          </w14:textFill>
        </w:rPr>
        <w:t>元,政府性基金预算支出0元,国有资本经营预算支出0元。从评价情况来看,从项目的经济性、效率性、有效性和可持续性等方面进行量化、具体分析，综合得分均超过98分，评价结果为“优”。</w:t>
      </w:r>
    </w:p>
    <w:p w14:paraId="232808A0">
      <w:pPr>
        <w:numPr>
          <w:ilvl w:val="0"/>
          <w:numId w:val="2"/>
        </w:num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绩效自评结果</w:t>
      </w:r>
    </w:p>
    <w:p w14:paraId="3BD5CD31">
      <w:pPr>
        <w:keepNext w:val="0"/>
        <w:keepLines w:val="0"/>
        <w:pageBreakBefore w:val="0"/>
        <w:widowControl/>
        <w:kinsoku/>
        <w:wordWrap/>
        <w:overflowPunct/>
        <w:topLinePunct w:val="0"/>
        <w:autoSpaceDE/>
        <w:autoSpaceDN/>
        <w:bidi w:val="0"/>
        <w:adjustRightInd/>
        <w:snapToGrid/>
        <w:spacing w:before="100" w:after="100"/>
        <w:ind w:firstLine="480" w:firstLineChars="200"/>
        <w:jc w:val="left"/>
        <w:textAlignment w:val="auto"/>
        <w:rPr>
          <w:rFonts w:ascii="宋体" w:hAnsi="宋体" w:cs="宋体"/>
          <w:kern w:val="0"/>
          <w:sz w:val="24"/>
          <w:szCs w:val="24"/>
        </w:rPr>
      </w:pPr>
      <w:r>
        <w:rPr>
          <w:rFonts w:hint="eastAsia" w:ascii="宋体" w:hAnsi="宋体" w:cs="宋体"/>
          <w:kern w:val="0"/>
          <w:sz w:val="24"/>
          <w:szCs w:val="24"/>
        </w:rPr>
        <w:t>我单位在202</w:t>
      </w:r>
      <w:r>
        <w:rPr>
          <w:rFonts w:ascii="宋体" w:hAnsi="宋体" w:cs="宋体"/>
          <w:kern w:val="0"/>
          <w:sz w:val="24"/>
          <w:szCs w:val="24"/>
        </w:rPr>
        <w:t>3</w:t>
      </w:r>
      <w:r>
        <w:rPr>
          <w:rFonts w:hint="eastAsia" w:ascii="宋体" w:hAnsi="宋体" w:cs="宋体"/>
          <w:kern w:val="0"/>
          <w:sz w:val="24"/>
          <w:szCs w:val="24"/>
        </w:rPr>
        <w:t>年度部门决算中反映部门整体支出绩效自评结果。部门整体支出绩效自评情况：根据年初设定的绩效目标,项目绩效自评得分100分。全年预算数为</w:t>
      </w:r>
      <w:r>
        <w:rPr>
          <w:rFonts w:hint="eastAsia" w:ascii="宋体" w:hAnsi="宋体"/>
          <w:color w:val="000000" w:themeColor="text1"/>
          <w:sz w:val="24"/>
          <w:szCs w:val="24"/>
          <w:lang w:val="zh-CN"/>
          <w14:textFill>
            <w14:solidFill>
              <w14:schemeClr w14:val="tx1"/>
            </w14:solidFill>
          </w14:textFill>
        </w:rPr>
        <w:t>317.37万元</w:t>
      </w:r>
      <w:r>
        <w:rPr>
          <w:rFonts w:hint="eastAsia" w:ascii="宋体" w:hAnsi="宋体" w:cs="宋体"/>
          <w:kern w:val="0"/>
          <w:sz w:val="24"/>
          <w:szCs w:val="24"/>
        </w:rPr>
        <w:t>,执行数为</w:t>
      </w:r>
      <w:r>
        <w:rPr>
          <w:rFonts w:hint="eastAsia" w:ascii="宋体" w:hAnsi="宋体"/>
          <w:color w:val="000000" w:themeColor="text1"/>
          <w:sz w:val="24"/>
          <w:szCs w:val="24"/>
          <w:lang w:val="zh-CN"/>
          <w14:textFill>
            <w14:solidFill>
              <w14:schemeClr w14:val="tx1"/>
            </w14:solidFill>
          </w14:textFill>
        </w:rPr>
        <w:t>317.37万元</w:t>
      </w:r>
      <w:r>
        <w:rPr>
          <w:rFonts w:hint="eastAsia" w:ascii="宋体" w:hAnsi="宋体" w:cs="宋体"/>
          <w:kern w:val="0"/>
          <w:sz w:val="24"/>
          <w:szCs w:val="24"/>
        </w:rPr>
        <w:t>,完成预算的100%。202</w:t>
      </w:r>
      <w:r>
        <w:rPr>
          <w:rFonts w:ascii="宋体" w:hAnsi="宋体" w:cs="宋体"/>
          <w:kern w:val="0"/>
          <w:sz w:val="24"/>
          <w:szCs w:val="24"/>
        </w:rPr>
        <w:t>3</w:t>
      </w:r>
      <w:r>
        <w:rPr>
          <w:rFonts w:hint="eastAsia" w:ascii="宋体" w:hAnsi="宋体" w:cs="宋体"/>
          <w:kern w:val="0"/>
          <w:sz w:val="24"/>
          <w:szCs w:val="24"/>
        </w:rPr>
        <w:t>年度部门决算中反映学生营养餐、困难学生生活补助等2个项目绩效自评结果。学生营养餐项目绩效自评情况：根据年初设定的绩效目标,项目绩效自评得分为100分。项目全年预算数为</w:t>
      </w:r>
      <w:r>
        <w:rPr>
          <w:rFonts w:hint="eastAsia" w:ascii="宋体" w:hAnsi="宋体" w:cs="宋体"/>
          <w:color w:val="000000" w:themeColor="text1"/>
          <w:sz w:val="24"/>
          <w:szCs w:val="24"/>
          <w:shd w:val="clear" w:fill="FFFFFF"/>
          <w:lang w:val="en-US" w:eastAsia="zh-CN"/>
          <w14:textFill>
            <w14:solidFill>
              <w14:schemeClr w14:val="tx1"/>
            </w14:solidFill>
          </w14:textFill>
        </w:rPr>
        <w:t>1.056万</w:t>
      </w:r>
      <w:r>
        <w:rPr>
          <w:rFonts w:hint="eastAsia" w:ascii="宋体" w:hAnsi="宋体" w:eastAsia="宋体" w:cs="宋体"/>
          <w:color w:val="000000" w:themeColor="text1"/>
          <w:sz w:val="24"/>
          <w:szCs w:val="24"/>
          <w:shd w:val="clear" w:fill="FFFFFF"/>
          <w14:textFill>
            <w14:solidFill>
              <w14:schemeClr w14:val="tx1"/>
            </w14:solidFill>
          </w14:textFill>
        </w:rPr>
        <w:t>元</w:t>
      </w:r>
      <w:r>
        <w:rPr>
          <w:rFonts w:hint="eastAsia" w:ascii="宋体" w:hAnsi="宋体" w:cs="宋体"/>
          <w:kern w:val="0"/>
          <w:sz w:val="24"/>
          <w:szCs w:val="24"/>
        </w:rPr>
        <w:t>,执行数为</w:t>
      </w:r>
      <w:r>
        <w:rPr>
          <w:rFonts w:hint="eastAsia" w:ascii="宋体" w:hAnsi="宋体" w:cs="宋体"/>
          <w:color w:val="000000" w:themeColor="text1"/>
          <w:sz w:val="24"/>
          <w:szCs w:val="24"/>
          <w:shd w:val="clear" w:fill="FFFFFF"/>
          <w:lang w:val="en-US" w:eastAsia="zh-CN"/>
          <w14:textFill>
            <w14:solidFill>
              <w14:schemeClr w14:val="tx1"/>
            </w14:solidFill>
          </w14:textFill>
        </w:rPr>
        <w:t>1.056万</w:t>
      </w:r>
      <w:r>
        <w:rPr>
          <w:rFonts w:hint="eastAsia" w:ascii="宋体" w:hAnsi="宋体" w:eastAsia="宋体" w:cs="宋体"/>
          <w:color w:val="000000" w:themeColor="text1"/>
          <w:sz w:val="24"/>
          <w:szCs w:val="24"/>
          <w:shd w:val="clear" w:fill="FFFFFF"/>
          <w14:textFill>
            <w14:solidFill>
              <w14:schemeClr w14:val="tx1"/>
            </w14:solidFill>
          </w14:textFill>
        </w:rPr>
        <w:t>元</w:t>
      </w:r>
      <w:r>
        <w:rPr>
          <w:rFonts w:hint="eastAsia" w:ascii="宋体" w:hAnsi="宋体" w:cs="宋体"/>
          <w:kern w:val="0"/>
          <w:sz w:val="24"/>
          <w:szCs w:val="24"/>
        </w:rPr>
        <w:t>,完成预算的100%。项目绩效目标完成情况：一是资金拨付和使用按照计划完成；二是确保我校学生营养得到保障。发现的主要问题及原因：随着物价上涨，补助标准有待提高。下一步改进措施：完善相关机制，保障项目实施。困难学生生活补助项目绩效自评情况根据年初设定的绩效目标,项目绩效自评得分为100分。项目全年预算数为</w:t>
      </w:r>
      <w:r>
        <w:rPr>
          <w:rFonts w:hint="eastAsia" w:ascii="宋体" w:hAnsi="宋体" w:cs="宋体"/>
          <w:kern w:val="0"/>
          <w:sz w:val="24"/>
          <w:szCs w:val="24"/>
          <w:lang w:val="en-US" w:eastAsia="zh-CN"/>
        </w:rPr>
        <w:t>0.825</w:t>
      </w:r>
      <w:r>
        <w:rPr>
          <w:rFonts w:ascii="宋体" w:hAnsi="宋体" w:cs="宋体"/>
          <w:kern w:val="0"/>
          <w:sz w:val="24"/>
          <w:szCs w:val="24"/>
        </w:rPr>
        <w:t>万</w:t>
      </w:r>
      <w:r>
        <w:rPr>
          <w:rFonts w:hint="eastAsia" w:ascii="宋体" w:hAnsi="宋体" w:cs="宋体"/>
          <w:kern w:val="0"/>
          <w:sz w:val="24"/>
          <w:szCs w:val="24"/>
        </w:rPr>
        <w:t>元,执行数为</w:t>
      </w:r>
      <w:r>
        <w:rPr>
          <w:rFonts w:hint="eastAsia" w:ascii="宋体" w:hAnsi="宋体" w:cs="宋体"/>
          <w:kern w:val="0"/>
          <w:sz w:val="24"/>
          <w:szCs w:val="24"/>
          <w:lang w:val="en-US" w:eastAsia="zh-CN"/>
        </w:rPr>
        <w:t>0.825</w:t>
      </w:r>
      <w:r>
        <w:rPr>
          <w:rFonts w:ascii="宋体" w:hAnsi="宋体" w:cs="宋体"/>
          <w:kern w:val="0"/>
          <w:sz w:val="24"/>
          <w:szCs w:val="24"/>
        </w:rPr>
        <w:t>万元</w:t>
      </w:r>
      <w:r>
        <w:rPr>
          <w:rFonts w:hint="eastAsia" w:ascii="宋体" w:hAnsi="宋体" w:cs="宋体"/>
          <w:kern w:val="0"/>
          <w:sz w:val="24"/>
          <w:szCs w:val="24"/>
        </w:rPr>
        <w:t>,完成预算的100%。项目绩效目标完成情况：一是资金拨付和使用按照计划完成；二是保证专款专用。发现的主要问题及原因：台账管理欠规范。下一步改进措施：做好学生资助台账建设。</w:t>
      </w:r>
    </w:p>
    <w:p w14:paraId="590D8A0E">
      <w:pPr>
        <w:spacing w:before="100" w:beforeLines="0" w:after="100" w:afterLines="0"/>
        <w:jc w:val="left"/>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三、部门绩效评价结果</w:t>
      </w:r>
    </w:p>
    <w:p w14:paraId="485C93D8">
      <w:pPr>
        <w:spacing w:before="100" w:beforeLines="0" w:after="100" w:afterLines="0"/>
        <w:jc w:val="both"/>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14:textFill>
            <w14:solidFill>
              <w14:schemeClr w14:val="tx1"/>
            </w14:solidFill>
          </w14:textFill>
        </w:rPr>
        <w:t>主管部门需随决算公开部门评价(含委托第三方对部门政策或项目开展重点绩效评价的)报告或案例,可以附件形式附后。</w:t>
      </w:r>
    </w:p>
    <w:p w14:paraId="329C1A38">
      <w:pPr>
        <w:spacing w:before="100" w:beforeLines="0" w:after="100" w:afterLines="0"/>
        <w:jc w:val="center"/>
        <w:rPr>
          <w:rFonts w:hint="eastAsia" w:ascii="宋体" w:hAnsi="宋体"/>
          <w:b/>
          <w:bCs/>
          <w:color w:val="000000" w:themeColor="text1"/>
          <w:sz w:val="24"/>
          <w:szCs w:val="24"/>
          <w:lang w:val="zh-CN" w:eastAsia="zh-CN"/>
          <w14:textFill>
            <w14:solidFill>
              <w14:schemeClr w14:val="tx1"/>
            </w14:solidFill>
          </w14:textFill>
        </w:rPr>
      </w:pPr>
      <w:r>
        <w:rPr>
          <w:rFonts w:hint="eastAsia" w:ascii="宋体" w:hAnsi="宋体"/>
          <w:b/>
          <w:bCs/>
          <w:color w:val="000000" w:themeColor="text1"/>
          <w:sz w:val="24"/>
          <w:szCs w:val="24"/>
          <w:lang w:val="zh-CN" w:eastAsia="zh-CN"/>
          <w14:textFill>
            <w14:solidFill>
              <w14:schemeClr w14:val="tx1"/>
            </w14:solidFill>
          </w14:textFill>
        </w:rPr>
        <w:t>第五部分</w:t>
      </w:r>
      <w:r>
        <w:rPr>
          <w:rFonts w:hint="eastAsia" w:ascii="宋体" w:hAnsi="宋体"/>
          <w:b/>
          <w:bCs/>
          <w:color w:val="000000" w:themeColor="text1"/>
          <w:sz w:val="24"/>
          <w:szCs w:val="24"/>
          <w:lang w:val="en-US" w:eastAsia="zh-CN"/>
          <w14:textFill>
            <w14:solidFill>
              <w14:schemeClr w14:val="tx1"/>
            </w14:solidFill>
          </w14:textFill>
        </w:rPr>
        <w:t xml:space="preserve">  </w:t>
      </w:r>
      <w:r>
        <w:rPr>
          <w:rFonts w:hint="eastAsia" w:ascii="宋体" w:hAnsi="宋体"/>
          <w:b/>
          <w:bCs/>
          <w:color w:val="000000" w:themeColor="text1"/>
          <w:sz w:val="24"/>
          <w:szCs w:val="24"/>
          <w:lang w:val="zh-CN" w:eastAsia="zh-CN"/>
          <w14:textFill>
            <w14:solidFill>
              <w14:schemeClr w14:val="tx1"/>
            </w14:solidFill>
          </w14:textFill>
        </w:rPr>
        <w:t>名词解释</w:t>
      </w:r>
    </w:p>
    <w:p w14:paraId="23B640A8">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color w:val="000000" w:themeColor="text1"/>
          <w:sz w:val="24"/>
          <w:szCs w:val="24"/>
          <w:lang w:val="zh-CN"/>
          <w14:textFill>
            <w14:solidFill>
              <w14:schemeClr w14:val="tx1"/>
            </w14:solidFill>
          </w14:textFill>
        </w:rPr>
        <w:t>以下为常见专业名词解释目录,仅供参考,部门应根据实际情况进行解释和增减。比如可将类级功能科目和经济科目细化解释到项级。若有删减注意调整段落序号。</w:t>
      </w:r>
    </w:p>
    <w:p w14:paraId="3089BCEC">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一、财政拨款收入</w:t>
      </w:r>
      <w:r>
        <w:rPr>
          <w:rFonts w:hint="eastAsia" w:ascii="宋体" w:hAnsi="宋体" w:eastAsia="宋体" w:cs="宋体"/>
          <w:color w:val="000000" w:themeColor="text1"/>
          <w:sz w:val="24"/>
          <w:szCs w:val="24"/>
          <w:lang w:val="zh-CN"/>
          <w14:textFill>
            <w14:solidFill>
              <w14:schemeClr w14:val="tx1"/>
            </w14:solidFill>
          </w14:textFill>
        </w:rPr>
        <w:t>：指本年度从同级财政部门取得的财政拨款,包括一般公共预算财政拨款、政府性基金预算财政拨款和国有资本经营预算财政拨款。</w:t>
      </w:r>
    </w:p>
    <w:p w14:paraId="08EBC954">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二、事业收入</w:t>
      </w:r>
      <w:r>
        <w:rPr>
          <w:rFonts w:hint="eastAsia" w:ascii="宋体" w:hAnsi="宋体" w:eastAsia="宋体" w:cs="宋体"/>
          <w:color w:val="000000" w:themeColor="text1"/>
          <w:sz w:val="24"/>
          <w:szCs w:val="24"/>
          <w:lang w:val="zh-CN"/>
          <w14:textFill>
            <w14:solidFill>
              <w14:schemeClr w14:val="tx1"/>
            </w14:solidFill>
          </w14:textFill>
        </w:rPr>
        <w:t>：指事业单位开展专业业务活动及其辅助活动取得的收入。</w:t>
      </w:r>
    </w:p>
    <w:p w14:paraId="3302107C">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三、经营收入</w:t>
      </w:r>
      <w:r>
        <w:rPr>
          <w:rFonts w:hint="eastAsia" w:ascii="宋体" w:hAnsi="宋体" w:eastAsia="宋体" w:cs="宋体"/>
          <w:color w:val="000000" w:themeColor="text1"/>
          <w:sz w:val="24"/>
          <w:szCs w:val="24"/>
          <w:lang w:val="zh-CN"/>
          <w14:textFill>
            <w14:solidFill>
              <w14:schemeClr w14:val="tx1"/>
            </w14:solidFill>
          </w14:textFill>
        </w:rPr>
        <w:t>：指事业单位在专业业务活动及其辅助活动之外开展非独立核算经营活动取得的收入。</w:t>
      </w:r>
    </w:p>
    <w:p w14:paraId="4D4F4C87">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四、其他收入</w:t>
      </w:r>
      <w:r>
        <w:rPr>
          <w:rFonts w:hint="eastAsia" w:ascii="宋体" w:hAnsi="宋体" w:eastAsia="宋体" w:cs="宋体"/>
          <w:color w:val="000000" w:themeColor="text1"/>
          <w:sz w:val="24"/>
          <w:szCs w:val="24"/>
          <w:lang w:val="zh-CN"/>
          <w14:textFill>
            <w14:solidFill>
              <w14:schemeClr w14:val="tx1"/>
            </w14:solidFill>
          </w14:textFill>
        </w:rPr>
        <w:t>：指除上述“财政拨款收入”“事业收入”、“经营收入”以外的收入。</w:t>
      </w:r>
    </w:p>
    <w:p w14:paraId="54F1F9EB">
      <w:pPr>
        <w:spacing w:before="100" w:beforeLines="0" w:after="100" w:afterLines="0"/>
        <w:jc w:val="both"/>
        <w:rPr>
          <w:rFonts w:hint="eastAsia" w:ascii="宋体" w:hAnsi="宋体" w:eastAsia="宋体" w:cs="宋体"/>
          <w:b w:val="0"/>
          <w:bCs w:val="0"/>
          <w:color w:val="000000" w:themeColor="text1"/>
          <w:sz w:val="24"/>
          <w:szCs w:val="24"/>
          <w:lang w:val="zh-CN"/>
          <w14:textFill>
            <w14:solidFill>
              <w14:schemeClr w14:val="tx1"/>
            </w14:solidFill>
          </w14:textFill>
        </w:rPr>
      </w:pPr>
      <w:r>
        <w:rPr>
          <w:rFonts w:hint="eastAsia" w:ascii="宋体" w:hAnsi="宋体" w:eastAsia="宋体" w:cs="宋体"/>
          <w:b/>
          <w:bCs/>
          <w:color w:val="000000" w:themeColor="text1"/>
          <w:sz w:val="24"/>
          <w:szCs w:val="24"/>
          <w:lang w:val="zh-CN"/>
          <w14:textFill>
            <w14:solidFill>
              <w14:schemeClr w14:val="tx1"/>
            </w14:solidFill>
          </w14:textFill>
        </w:rPr>
        <w:t>五、使用非财政拨款结余（含专用结余）：</w:t>
      </w:r>
      <w:r>
        <w:rPr>
          <w:rFonts w:hint="eastAsia" w:ascii="宋体" w:hAnsi="宋体" w:eastAsia="宋体" w:cs="宋体"/>
          <w:b w:val="0"/>
          <w:bCs w:val="0"/>
          <w:color w:val="000000" w:themeColor="text1"/>
          <w:sz w:val="24"/>
          <w:szCs w:val="24"/>
          <w:lang w:val="zh-CN"/>
          <w14:textFill>
            <w14:solidFill>
              <w14:schemeClr w14:val="tx1"/>
            </w14:solidFill>
          </w14:textFill>
        </w:rPr>
        <w:t>指事业单位按照预算管理要求使用非财政拨款结余弥补收支差额的金额，以及使用专用结余安排支出的金额。</w:t>
      </w:r>
    </w:p>
    <w:p w14:paraId="56BC1B1F">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六、年初结转和结余</w:t>
      </w:r>
      <w:r>
        <w:rPr>
          <w:rFonts w:hint="eastAsia" w:ascii="宋体" w:hAnsi="宋体" w:eastAsia="宋体" w:cs="宋体"/>
          <w:color w:val="000000" w:themeColor="text1"/>
          <w:sz w:val="24"/>
          <w:szCs w:val="24"/>
          <w:lang w:val="zh-CN"/>
          <w14:textFill>
            <w14:solidFill>
              <w14:schemeClr w14:val="tx1"/>
            </w14:solidFill>
          </w14:textFill>
        </w:rPr>
        <w:t>：指单位上年结转至本年使用的基本支出结转、项目支出结转和结余、经营结余。</w:t>
      </w:r>
    </w:p>
    <w:p w14:paraId="66734986">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七、结余分配</w:t>
      </w:r>
      <w:r>
        <w:rPr>
          <w:rFonts w:hint="eastAsia" w:ascii="宋体" w:hAnsi="宋体" w:eastAsia="宋体" w:cs="宋体"/>
          <w:color w:val="000000" w:themeColor="text1"/>
          <w:sz w:val="24"/>
          <w:szCs w:val="24"/>
          <w:lang w:val="zh-CN"/>
          <w14:textFill>
            <w14:solidFill>
              <w14:schemeClr w14:val="tx1"/>
            </w14:solidFill>
          </w14:textFill>
        </w:rPr>
        <w:t>：指单位按照会计制度规定缴纳的所得税、提取的专用结余以及转入非财政拨款结余的金额等。</w:t>
      </w:r>
    </w:p>
    <w:p w14:paraId="67A63F12">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八、年末结转和结余</w:t>
      </w:r>
      <w:r>
        <w:rPr>
          <w:rFonts w:hint="eastAsia" w:ascii="宋体" w:hAnsi="宋体" w:eastAsia="宋体" w:cs="宋体"/>
          <w:color w:val="000000" w:themeColor="text1"/>
          <w:sz w:val="24"/>
          <w:szCs w:val="24"/>
          <w:lang w:val="zh-CN"/>
          <w14:textFill>
            <w14:solidFill>
              <w14:schemeClr w14:val="tx1"/>
            </w14:solidFill>
          </w14:textFill>
        </w:rPr>
        <w:t>：指单位按有关规定结转到下年的基本支出结转、项目支出结转和结余、经营结余。</w:t>
      </w:r>
    </w:p>
    <w:p w14:paraId="17A6AF5C">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九、基本支出</w:t>
      </w:r>
      <w:r>
        <w:rPr>
          <w:rFonts w:hint="eastAsia" w:ascii="宋体" w:hAnsi="宋体" w:eastAsia="宋体" w:cs="宋体"/>
          <w:color w:val="000000" w:themeColor="text1"/>
          <w:sz w:val="24"/>
          <w:szCs w:val="24"/>
          <w:lang w:val="zh-CN"/>
          <w14:textFill>
            <w14:solidFill>
              <w14:schemeClr w14:val="tx1"/>
            </w14:solidFill>
          </w14:textFill>
        </w:rPr>
        <w:t>：指为保障机构正常运转、完成日常工作任务而发生的人员经费和公用经费。</w:t>
      </w:r>
    </w:p>
    <w:p w14:paraId="091BDAB4">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十、项目支出</w:t>
      </w:r>
      <w:r>
        <w:rPr>
          <w:rFonts w:hint="eastAsia" w:ascii="宋体" w:hAnsi="宋体" w:eastAsia="宋体" w:cs="宋体"/>
          <w:color w:val="000000" w:themeColor="text1"/>
          <w:sz w:val="24"/>
          <w:szCs w:val="24"/>
          <w:lang w:val="zh-CN"/>
          <w14:textFill>
            <w14:solidFill>
              <w14:schemeClr w14:val="tx1"/>
            </w14:solidFill>
          </w14:textFill>
        </w:rPr>
        <w:t>：指在基本支出之外为完成特定行政任务或事业发展目标所发生的支出。</w:t>
      </w:r>
    </w:p>
    <w:p w14:paraId="76EC652A">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十一、经营支出</w:t>
      </w:r>
      <w:r>
        <w:rPr>
          <w:rFonts w:hint="eastAsia" w:ascii="宋体" w:hAnsi="宋体" w:eastAsia="宋体" w:cs="宋体"/>
          <w:color w:val="000000" w:themeColor="text1"/>
          <w:sz w:val="24"/>
          <w:szCs w:val="24"/>
          <w:lang w:val="zh-CN"/>
          <w14:textFill>
            <w14:solidFill>
              <w14:schemeClr w14:val="tx1"/>
            </w14:solidFill>
          </w14:textFill>
        </w:rPr>
        <w:t>：指事业单位在专业业务活动及其辅助活动之外开展非独立核算经营活动发生的支出。</w:t>
      </w:r>
    </w:p>
    <w:p w14:paraId="2B5FDA92">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十二、“三公”经费</w:t>
      </w:r>
      <w:r>
        <w:rPr>
          <w:rFonts w:hint="eastAsia" w:ascii="宋体" w:hAnsi="宋体" w:eastAsia="宋体" w:cs="宋体"/>
          <w:color w:val="000000" w:themeColor="text1"/>
          <w:sz w:val="24"/>
          <w:szCs w:val="24"/>
          <w:lang w:val="zh-CN"/>
          <w14:textFill>
            <w14:solidFill>
              <w14:schemeClr w14:val="tx1"/>
            </w14:solidFill>
          </w14:textFill>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5903D54">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十三、机关运行经费</w:t>
      </w:r>
      <w:r>
        <w:rPr>
          <w:rFonts w:hint="eastAsia" w:ascii="宋体" w:hAnsi="宋体" w:eastAsia="宋体" w:cs="宋体"/>
          <w:color w:val="000000" w:themeColor="text1"/>
          <w:sz w:val="24"/>
          <w:szCs w:val="24"/>
          <w:lang w:val="zh-CN"/>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2ED2831">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r>
        <w:rPr>
          <w:rFonts w:hint="eastAsia" w:ascii="宋体" w:hAnsi="宋体" w:eastAsia="宋体" w:cs="宋体"/>
          <w:b/>
          <w:color w:val="000000" w:themeColor="text1"/>
          <w:sz w:val="24"/>
          <w:szCs w:val="24"/>
          <w:lang w:val="zh-CN"/>
          <w14:textFill>
            <w14:solidFill>
              <w14:schemeClr w14:val="tx1"/>
            </w14:solidFill>
          </w14:textFill>
        </w:rPr>
        <w:t>十四、社会保障和就业支出（类）行政事业单位养老支出（款）机关事业单位基本养老保险缴费支出（项）：</w:t>
      </w:r>
      <w:r>
        <w:rPr>
          <w:rFonts w:hint="eastAsia" w:ascii="宋体" w:hAnsi="宋体" w:eastAsia="宋体" w:cs="宋体"/>
          <w:color w:val="000000" w:themeColor="text1"/>
          <w:sz w:val="24"/>
          <w:szCs w:val="24"/>
          <w:lang w:val="zh-CN"/>
          <w14:textFill>
            <w14:solidFill>
              <w14:schemeClr w14:val="tx1"/>
            </w14:solidFill>
          </w14:textFill>
        </w:rPr>
        <w:t>反映机关事业单位实施养老保险制度由单位缴纳的基本养老保险支出。</w:t>
      </w:r>
    </w:p>
    <w:p w14:paraId="772417D9">
      <w:pPr>
        <w:spacing w:before="100" w:beforeLines="0" w:after="100" w:afterLines="0"/>
        <w:ind w:firstLine="480" w:firstLineChars="200"/>
        <w:jc w:val="both"/>
        <w:rPr>
          <w:rFonts w:hint="eastAsia" w:ascii="宋体" w:hAnsi="宋体" w:eastAsia="宋体" w:cs="宋体"/>
          <w:color w:val="000000" w:themeColor="text1"/>
          <w:sz w:val="24"/>
          <w:szCs w:val="24"/>
          <w:lang w:val="zh-CN"/>
          <w14:textFill>
            <w14:solidFill>
              <w14:schemeClr w14:val="tx1"/>
            </w14:solidFill>
          </w14:textFill>
        </w:rPr>
      </w:pPr>
    </w:p>
    <w:p w14:paraId="7F8E895D">
      <w:pPr>
        <w:spacing w:before="100" w:beforeLines="0" w:after="100" w:afterLines="0"/>
        <w:jc w:val="both"/>
        <w:rPr>
          <w:rFonts w:hint="eastAsia" w:ascii="宋体" w:hAnsi="宋体" w:eastAsia="宋体" w:cs="宋体"/>
          <w:color w:val="000000" w:themeColor="text1"/>
          <w:sz w:val="24"/>
          <w:szCs w:val="24"/>
          <w:lang w:val="zh-CN"/>
          <w14:textFill>
            <w14:solidFill>
              <w14:schemeClr w14:val="tx1"/>
            </w14:solidFill>
          </w14:textFill>
        </w:rPr>
      </w:pPr>
    </w:p>
    <w:p w14:paraId="76B93CF4">
      <w:pPr>
        <w:spacing w:before="100" w:beforeLines="0" w:after="100" w:afterLines="0"/>
        <w:jc w:val="both"/>
        <w:rPr>
          <w:rFonts w:hint="eastAsia" w:ascii="仿宋_GB2312" w:hAnsi="仿宋_GB2312" w:eastAsia="仿宋_GB2312" w:cs="仿宋_GB2312"/>
          <w:color w:val="000000" w:themeColor="text1"/>
          <w:sz w:val="32"/>
          <w:szCs w:val="32"/>
          <w:lang w:val="zh-CN"/>
          <w14:textFill>
            <w14:solidFill>
              <w14:schemeClr w14:val="tx1"/>
            </w14:solidFill>
          </w14:textFill>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abstractNum w:abstractNumId="1">
    <w:nsid w:val="14CBFC27"/>
    <w:multiLevelType w:val="singleLevel"/>
    <w:tmpl w:val="14CBFC2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5MjljZjJhY2M5ZjBlMmEwM2FkYmYyM2RjYTQxMTIifQ=="/>
  </w:docVars>
  <w:rsids>
    <w:rsidRoot w:val="00000000"/>
    <w:rsid w:val="05591769"/>
    <w:rsid w:val="2424304B"/>
    <w:rsid w:val="31BF2265"/>
    <w:rsid w:val="70EA545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f5660522-da07-404e-bc62-8f817c77454b}">
  <ds:schemaRefs/>
</ds:datastoreItem>
</file>

<file path=customXml/itemProps2.xml><?xml version="1.0" encoding="utf-8"?>
<ds:datastoreItem xmlns:ds="http://schemas.openxmlformats.org/officeDocument/2006/customXml" ds:itemID="{7ed39882-1f9a-4b65-9b6f-ff014739c683}">
  <ds:schemaRefs/>
</ds:datastoreItem>
</file>

<file path=customXml/itemProps3.xml><?xml version="1.0" encoding="utf-8"?>
<ds:datastoreItem xmlns:ds="http://schemas.openxmlformats.org/officeDocument/2006/customXml" ds:itemID="{9223f333-76ff-4b00-a455-680b7a62227f}">
  <ds:schemaRefs/>
</ds:datastoreItem>
</file>

<file path=customXml/itemProps4.xml><?xml version="1.0" encoding="utf-8"?>
<ds:datastoreItem xmlns:ds="http://schemas.openxmlformats.org/officeDocument/2006/customXml" ds:itemID="{f044b45d-e5ab-43f5-91aa-959095d661da}">
  <ds:schemaRefs/>
</ds:datastoreItem>
</file>

<file path=customXml/itemProps5.xml><?xml version="1.0" encoding="utf-8"?>
<ds:datastoreItem xmlns:ds="http://schemas.openxmlformats.org/officeDocument/2006/customXml" ds:itemID="{acb4b030-5adf-487a-af3d-573d4bc53c95}">
  <ds:schemaRefs/>
</ds:datastoreItem>
</file>

<file path=customXml/itemProps6.xml><?xml version="1.0" encoding="utf-8"?>
<ds:datastoreItem xmlns:ds="http://schemas.openxmlformats.org/officeDocument/2006/customXml" ds:itemID="{7fc17383-53f6-449b-bcc7-6b1f4252e729}">
  <ds:schemaRefs/>
</ds:datastoreItem>
</file>

<file path=customXml/itemProps7.xml><?xml version="1.0" encoding="utf-8"?>
<ds:datastoreItem xmlns:ds="http://schemas.openxmlformats.org/officeDocument/2006/customXml" ds:itemID="{b9562f0a-01b4-4d7b-9296-3f0cca8911ce}">
  <ds:schemaRefs/>
</ds:datastoreItem>
</file>

<file path=customXml/itemProps8.xml><?xml version="1.0" encoding="utf-8"?>
<ds:datastoreItem xmlns:ds="http://schemas.openxmlformats.org/officeDocument/2006/customXml" ds:itemID="{329df267-0d08-4b09-bfb0-b8bd6f189ec3}">
  <ds:schemaRefs/>
</ds:datastoreItem>
</file>

<file path=customXml/itemProps9.xml><?xml version="1.0" encoding="utf-8"?>
<ds:datastoreItem xmlns:ds="http://schemas.openxmlformats.org/officeDocument/2006/customXml" ds:itemID="{ac519635-0e25-42b8-a110-858cb93f1c83}">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4142</Words>
  <Characters>4501</Characters>
  <Lines>0</Lines>
  <Paragraphs>0</Paragraphs>
  <TotalTime>35</TotalTime>
  <ScaleCrop>false</ScaleCrop>
  <LinksUpToDate>false</LinksUpToDate>
  <CharactersWithSpaces>4505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张峰</cp:lastModifiedBy>
  <dcterms:modified xsi:type="dcterms:W3CDTF">2024-09-18T05:31:41Z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